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exact"/>
        <w:jc w:val="left"/>
        <w:rPr>
          <w:rFonts w:hint="eastAsia" w:ascii="宋体" w:hAnsi="宋体" w:cs="宋体"/>
          <w:color w:val="333333"/>
          <w:kern w:val="0"/>
          <w:sz w:val="28"/>
          <w:szCs w:val="28"/>
        </w:rPr>
      </w:pPr>
      <w:r>
        <w:rPr>
          <w:rFonts w:hint="eastAsia" w:ascii="宋体" w:hAnsi="宋体" w:cs="宋体"/>
          <w:color w:val="333333"/>
          <w:kern w:val="0"/>
          <w:sz w:val="28"/>
          <w:szCs w:val="28"/>
        </w:rPr>
        <w:t>2017年国家社科基金立项名单</w:t>
      </w:r>
    </w:p>
    <w:tbl>
      <w:tblPr>
        <w:tblStyle w:val="3"/>
        <w:tblW w:w="9085" w:type="dxa"/>
        <w:tblInd w:w="95" w:type="dxa"/>
        <w:tblLayout w:type="fixed"/>
        <w:tblCellMar>
          <w:top w:w="0" w:type="dxa"/>
          <w:left w:w="108" w:type="dxa"/>
          <w:bottom w:w="0" w:type="dxa"/>
          <w:right w:w="108" w:type="dxa"/>
        </w:tblCellMar>
      </w:tblPr>
      <w:tblGrid>
        <w:gridCol w:w="760"/>
        <w:gridCol w:w="3222"/>
        <w:gridCol w:w="1134"/>
        <w:gridCol w:w="1418"/>
        <w:gridCol w:w="1276"/>
        <w:gridCol w:w="1275"/>
      </w:tblGrid>
      <w:tr>
        <w:tblPrEx>
          <w:tblLayout w:type="fixed"/>
          <w:tblCellMar>
            <w:top w:w="0" w:type="dxa"/>
            <w:left w:w="108" w:type="dxa"/>
            <w:bottom w:w="0" w:type="dxa"/>
            <w:right w:w="108" w:type="dxa"/>
          </w:tblCellMar>
        </w:tblPrEx>
        <w:trPr>
          <w:trHeight w:val="270" w:hRule="atLeast"/>
        </w:trPr>
        <w:tc>
          <w:tcPr>
            <w:tcW w:w="760"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序号</w:t>
            </w:r>
          </w:p>
        </w:tc>
        <w:tc>
          <w:tcPr>
            <w:tcW w:w="3222" w:type="dxa"/>
            <w:tcBorders>
              <w:top w:val="single" w:color="auto" w:sz="4" w:space="0"/>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课题名称</w:t>
            </w:r>
          </w:p>
        </w:tc>
        <w:tc>
          <w:tcPr>
            <w:tcW w:w="1134" w:type="dxa"/>
            <w:tcBorders>
              <w:top w:val="single" w:color="auto" w:sz="4" w:space="0"/>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负责人</w:t>
            </w:r>
          </w:p>
        </w:tc>
        <w:tc>
          <w:tcPr>
            <w:tcW w:w="1418" w:type="dxa"/>
            <w:tcBorders>
              <w:top w:val="single" w:color="auto" w:sz="4" w:space="0"/>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工作单位</w:t>
            </w:r>
          </w:p>
        </w:tc>
        <w:tc>
          <w:tcPr>
            <w:tcW w:w="1276" w:type="dxa"/>
            <w:tcBorders>
              <w:top w:val="single" w:color="auto" w:sz="4" w:space="0"/>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项目类别</w:t>
            </w:r>
          </w:p>
        </w:tc>
        <w:tc>
          <w:tcPr>
            <w:tcW w:w="1275" w:type="dxa"/>
            <w:tcBorders>
              <w:top w:val="single" w:color="auto" w:sz="4" w:space="0"/>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所在学科</w:t>
            </w:r>
          </w:p>
        </w:tc>
      </w:tr>
      <w:tr>
        <w:tblPrEx>
          <w:tblLayout w:type="fixed"/>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1</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湘学在中华民族核心价值观凝聚过程中的作用研究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陈代湘</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哲学系</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重点项目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哲学</w:t>
            </w:r>
          </w:p>
        </w:tc>
      </w:tr>
      <w:tr>
        <w:tblPrEx>
          <w:tblLayout w:type="fixed"/>
          <w:tblCellMar>
            <w:top w:w="0" w:type="dxa"/>
            <w:left w:w="108" w:type="dxa"/>
            <w:bottom w:w="0" w:type="dxa"/>
            <w:right w:w="108" w:type="dxa"/>
          </w:tblCellMar>
        </w:tblPrEx>
        <w:trPr>
          <w:trHeight w:val="57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2</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党规与国法关系的合宪性调适研究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欧爱民</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法学院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重点项目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法学</w:t>
            </w:r>
          </w:p>
        </w:tc>
      </w:tr>
      <w:tr>
        <w:tblPrEx>
          <w:tblLayout w:type="fixed"/>
          <w:tblCellMar>
            <w:top w:w="0" w:type="dxa"/>
            <w:left w:w="108" w:type="dxa"/>
            <w:bottom w:w="0" w:type="dxa"/>
            <w:right w:w="108" w:type="dxa"/>
          </w:tblCellMar>
        </w:tblPrEx>
        <w:trPr>
          <w:trHeight w:val="54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3</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“互联网</w:t>
            </w:r>
            <w:r>
              <w:rPr>
                <w:color w:val="000000"/>
                <w:sz w:val="22"/>
                <w:szCs w:val="22"/>
              </w:rPr>
              <w:t>+</w:t>
            </w:r>
            <w:r>
              <w:rPr>
                <w:rFonts w:hint="eastAsia"/>
                <w:color w:val="000000"/>
                <w:sz w:val="22"/>
                <w:szCs w:val="22"/>
              </w:rPr>
              <w:t>档案”新业态研究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王协舟</w:t>
            </w:r>
          </w:p>
        </w:tc>
        <w:tc>
          <w:tcPr>
            <w:tcW w:w="1418" w:type="dxa"/>
            <w:tcBorders>
              <w:top w:val="nil"/>
              <w:left w:val="nil"/>
              <w:bottom w:val="single" w:color="auto" w:sz="4" w:space="0"/>
              <w:right w:val="single" w:color="auto" w:sz="4" w:space="0"/>
            </w:tcBorders>
            <w:vAlign w:val="center"/>
          </w:tcPr>
          <w:p>
            <w:pPr>
              <w:jc w:val="center"/>
              <w:rPr>
                <w:rFonts w:hint="eastAsia"/>
                <w:color w:val="000000"/>
                <w:sz w:val="22"/>
                <w:szCs w:val="22"/>
              </w:rPr>
            </w:pPr>
            <w:r>
              <w:rPr>
                <w:rFonts w:hint="eastAsia"/>
                <w:color w:val="000000"/>
                <w:sz w:val="22"/>
                <w:szCs w:val="22"/>
              </w:rPr>
              <w:t>公共管理</w:t>
            </w:r>
          </w:p>
          <w:p>
            <w:pPr>
              <w:jc w:val="center"/>
              <w:rPr>
                <w:color w:val="000000"/>
                <w:sz w:val="22"/>
                <w:szCs w:val="22"/>
              </w:rPr>
            </w:pPr>
            <w:r>
              <w:rPr>
                <w:rFonts w:hint="eastAsia"/>
                <w:color w:val="000000"/>
                <w:sz w:val="22"/>
                <w:szCs w:val="22"/>
              </w:rPr>
              <w:t>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重点项目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图书馆、情报与文献学</w:t>
            </w:r>
          </w:p>
        </w:tc>
      </w:tr>
      <w:tr>
        <w:tblPrEx>
          <w:tblLayout w:type="fixed"/>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4</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社会组织参与农村社区矫正实证研究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李蓉</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法学院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一般项目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法学</w:t>
            </w:r>
          </w:p>
        </w:tc>
      </w:tr>
      <w:tr>
        <w:tblPrEx>
          <w:tblLayout w:type="fixed"/>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5</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区域链时代版权技术措施禁止规避例外制度研究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邹琳</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法学院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一般项目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法学</w:t>
            </w:r>
          </w:p>
        </w:tc>
      </w:tr>
      <w:tr>
        <w:tblPrEx>
          <w:tblLayout w:type="fixed"/>
          <w:tblCellMar>
            <w:top w:w="0" w:type="dxa"/>
            <w:left w:w="108" w:type="dxa"/>
            <w:bottom w:w="0" w:type="dxa"/>
            <w:right w:w="108" w:type="dxa"/>
          </w:tblCellMar>
        </w:tblPrEx>
        <w:trPr>
          <w:trHeight w:val="54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6</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国际体育仲裁院裁判规则研究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周青山</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法学院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一般项目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法学</w:t>
            </w:r>
          </w:p>
        </w:tc>
      </w:tr>
      <w:tr>
        <w:tblPrEx>
          <w:tblLayout w:type="fixed"/>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7</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律师参与认罪认罚程序的相关问题研究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穆远征</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法学院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一般项目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法学</w:t>
            </w:r>
          </w:p>
        </w:tc>
      </w:tr>
      <w:tr>
        <w:tblPrEx>
          <w:tblLayout w:type="fixed"/>
          <w:tblCellMar>
            <w:top w:w="0" w:type="dxa"/>
            <w:left w:w="108" w:type="dxa"/>
            <w:bottom w:w="0" w:type="dxa"/>
            <w:right w:w="108" w:type="dxa"/>
          </w:tblCellMar>
        </w:tblPrEx>
        <w:trPr>
          <w:trHeight w:val="54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8</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绿色发展下排污权交易机制对雾霾治理的影响机理研究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吴朝霞</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商学院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一般项目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理论经济</w:t>
            </w:r>
          </w:p>
        </w:tc>
      </w:tr>
      <w:tr>
        <w:tblPrEx>
          <w:tblLayout w:type="fixed"/>
          <w:tblCellMar>
            <w:top w:w="0" w:type="dxa"/>
            <w:left w:w="108" w:type="dxa"/>
            <w:bottom w:w="0" w:type="dxa"/>
            <w:right w:w="108" w:type="dxa"/>
          </w:tblCellMar>
        </w:tblPrEx>
        <w:trPr>
          <w:trHeight w:val="54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9</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户籍制度改革对农业转移人口市民化的影响机制及对策研究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朱健</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商学院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一般项目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理论经济</w:t>
            </w:r>
          </w:p>
        </w:tc>
      </w:tr>
      <w:tr>
        <w:tblPrEx>
          <w:tblLayout w:type="fixed"/>
          <w:tblCellMar>
            <w:top w:w="0" w:type="dxa"/>
            <w:left w:w="108" w:type="dxa"/>
            <w:bottom w:w="0" w:type="dxa"/>
            <w:right w:w="108" w:type="dxa"/>
          </w:tblCellMar>
        </w:tblPrEx>
        <w:trPr>
          <w:trHeight w:val="54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10</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以收入分配改革重构有效供给与有效需求联动与匹配的动力机制研究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龚志民</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商学院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一般项目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理论经济</w:t>
            </w:r>
          </w:p>
        </w:tc>
      </w:tr>
      <w:tr>
        <w:tblPrEx>
          <w:tblLayout w:type="fixed"/>
          <w:tblCellMar>
            <w:top w:w="0" w:type="dxa"/>
            <w:left w:w="108" w:type="dxa"/>
            <w:bottom w:w="0" w:type="dxa"/>
            <w:right w:w="108" w:type="dxa"/>
          </w:tblCellMar>
        </w:tblPrEx>
        <w:trPr>
          <w:trHeight w:val="54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11</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我国军民融合驱动新兴产业发展的长效机制与政策体系研究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彭中文</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商学院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一般项目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应用经济</w:t>
            </w:r>
          </w:p>
        </w:tc>
      </w:tr>
      <w:tr>
        <w:tblPrEx>
          <w:tblLayout w:type="fixed"/>
          <w:tblCellMar>
            <w:top w:w="0" w:type="dxa"/>
            <w:left w:w="108" w:type="dxa"/>
            <w:bottom w:w="0" w:type="dxa"/>
            <w:right w:w="108" w:type="dxa"/>
          </w:tblCellMar>
        </w:tblPrEx>
        <w:trPr>
          <w:trHeight w:val="54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12</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长江经济带农产品主产区农业与旅游业融合发展机制研究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方世敏</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商学院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一般项目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应用经济</w:t>
            </w:r>
          </w:p>
        </w:tc>
      </w:tr>
      <w:tr>
        <w:tblPrEx>
          <w:tblLayout w:type="fixed"/>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13</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中国文化自信的红色基因研究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刘建平</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商学院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一般项目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马列·科社</w:t>
            </w:r>
          </w:p>
        </w:tc>
      </w:tr>
      <w:tr>
        <w:tblPrEx>
          <w:tblLayout w:type="fixed"/>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14</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党委会嵌入国企治理结构的模式选择研究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舒建平</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商学院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一般项目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党史·党建</w:t>
            </w:r>
          </w:p>
        </w:tc>
      </w:tr>
      <w:tr>
        <w:tblPrEx>
          <w:tblLayout w:type="fixed"/>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15</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马克思主义视域中的文艺影响力研究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李志雄</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文学与新闻学院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一般项目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中国文学</w:t>
            </w:r>
          </w:p>
        </w:tc>
      </w:tr>
      <w:tr>
        <w:tblPrEx>
          <w:tblLayout w:type="fixed"/>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16</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晚清小说“新民”人物叙事伦理研究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王洁群</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文学与新闻学院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一般项目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中国文学</w:t>
            </w:r>
          </w:p>
        </w:tc>
      </w:tr>
      <w:tr>
        <w:tblPrEx>
          <w:tblLayout w:type="fixed"/>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17</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20世纪中国大学小说研究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戴海光</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文学与新闻学院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一般项目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中国文学</w:t>
            </w:r>
          </w:p>
        </w:tc>
      </w:tr>
      <w:tr>
        <w:tblPrEx>
          <w:tblLayout w:type="fixed"/>
          <w:tblCellMar>
            <w:top w:w="0" w:type="dxa"/>
            <w:left w:w="108" w:type="dxa"/>
            <w:bottom w:w="0" w:type="dxa"/>
            <w:right w:w="108" w:type="dxa"/>
          </w:tblCellMar>
        </w:tblPrEx>
        <w:trPr>
          <w:trHeight w:val="54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18</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新媒体环境下电视媒体舆论引导责任评价体系研究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田华</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文学与新闻学院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一般项目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新闻学与传播学</w:t>
            </w:r>
          </w:p>
        </w:tc>
      </w:tr>
      <w:tr>
        <w:tblPrEx>
          <w:tblLayout w:type="fixed"/>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19</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马克思中期政治哲学的文本学研究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罗伯中</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哲学系</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一般项目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哲学</w:t>
            </w:r>
          </w:p>
        </w:tc>
      </w:tr>
      <w:tr>
        <w:tblPrEx>
          <w:tblLayout w:type="fixed"/>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20</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哲学“原创性”与冯契思想研究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李伏清</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哲学系</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一般项目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哲学</w:t>
            </w:r>
          </w:p>
        </w:tc>
      </w:tr>
      <w:tr>
        <w:tblPrEx>
          <w:tblLayout w:type="fixed"/>
          <w:tblCellMar>
            <w:top w:w="0" w:type="dxa"/>
            <w:left w:w="108" w:type="dxa"/>
            <w:bottom w:w="0" w:type="dxa"/>
            <w:right w:w="108" w:type="dxa"/>
          </w:tblCellMar>
        </w:tblPrEx>
        <w:trPr>
          <w:trHeight w:val="54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21</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改革开放以来党内政治生态治理的历史考察及经验研究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何妍</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马克思主义学院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一般项目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党史·党建</w:t>
            </w:r>
          </w:p>
        </w:tc>
      </w:tr>
      <w:tr>
        <w:tblPrEx>
          <w:tblLayout w:type="fixed"/>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22</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毛泽东国家安全思想及启示研究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吴克明</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马克思主义学院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一般项目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马列·科社</w:t>
            </w:r>
          </w:p>
        </w:tc>
      </w:tr>
      <w:tr>
        <w:tblPrEx>
          <w:tblLayout w:type="fixed"/>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23</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毛泽东文化自信思想及其治国理政价值研究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潘信林</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公共管理学院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一般项目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马列·科社</w:t>
            </w:r>
          </w:p>
        </w:tc>
      </w:tr>
      <w:tr>
        <w:tblPrEx>
          <w:tblLayout w:type="fixed"/>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24</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中国共产党革命精神与中华优秀文化传统研究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宋银桂</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历史系</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一般项目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马列·科社</w:t>
            </w:r>
          </w:p>
        </w:tc>
      </w:tr>
      <w:tr>
        <w:tblPrEx>
          <w:tblLayout w:type="fixed"/>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25</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残疾青少年体育纠纷解决机制研究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黄世昌</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体育教学部</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一般项目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体育学</w:t>
            </w:r>
          </w:p>
        </w:tc>
      </w:tr>
      <w:tr>
        <w:tblPrEx>
          <w:tblLayout w:type="fixed"/>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26</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数据控制者的法律规制研究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方舟之</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法学院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青年项目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法学</w:t>
            </w:r>
          </w:p>
        </w:tc>
      </w:tr>
      <w:tr>
        <w:tblPrEx>
          <w:tblLayout w:type="fixed"/>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27</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国家监察委员会腐败犯罪调查权研究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林艺芳</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法学院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青年项目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法学</w:t>
            </w:r>
          </w:p>
        </w:tc>
      </w:tr>
      <w:tr>
        <w:tblPrEx>
          <w:tblLayout w:type="fixed"/>
          <w:tblCellMar>
            <w:top w:w="0" w:type="dxa"/>
            <w:left w:w="108" w:type="dxa"/>
            <w:bottom w:w="0" w:type="dxa"/>
            <w:right w:w="108" w:type="dxa"/>
          </w:tblCellMar>
        </w:tblPrEx>
        <w:trPr>
          <w:trHeight w:val="54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28</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“一带一路”背景下我国企业对非投资的环境法律风险及对策研究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张小虎</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法学院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青年项目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国际问题研究</w:t>
            </w:r>
          </w:p>
        </w:tc>
      </w:tr>
      <w:tr>
        <w:tblPrEx>
          <w:tblLayout w:type="fixed"/>
          <w:tblCellMar>
            <w:top w:w="0" w:type="dxa"/>
            <w:left w:w="108" w:type="dxa"/>
            <w:bottom w:w="0" w:type="dxa"/>
            <w:right w:w="108" w:type="dxa"/>
          </w:tblCellMar>
        </w:tblPrEx>
        <w:trPr>
          <w:trHeight w:val="54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29</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以路网建设促成区域协调发展的空间机制和路径研究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侯新烁</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商学院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青年项目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理论经济</w:t>
            </w:r>
          </w:p>
        </w:tc>
      </w:tr>
      <w:tr>
        <w:tblPrEx>
          <w:tblLayout w:type="fixed"/>
          <w:tblCellMar>
            <w:top w:w="0" w:type="dxa"/>
            <w:left w:w="108" w:type="dxa"/>
            <w:bottom w:w="0" w:type="dxa"/>
            <w:right w:w="108" w:type="dxa"/>
          </w:tblCellMar>
        </w:tblPrEx>
        <w:trPr>
          <w:trHeight w:val="54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30</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中央企业利润分配制度改革的动态跟踪与效果评估研究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杨巨</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商学院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青年项目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理论经济</w:t>
            </w:r>
          </w:p>
        </w:tc>
      </w:tr>
      <w:tr>
        <w:tblPrEx>
          <w:tblLayout w:type="fixed"/>
          <w:tblCellMar>
            <w:top w:w="0" w:type="dxa"/>
            <w:left w:w="108" w:type="dxa"/>
            <w:bottom w:w="0" w:type="dxa"/>
            <w:right w:w="108" w:type="dxa"/>
          </w:tblCellMar>
        </w:tblPrEx>
        <w:trPr>
          <w:trHeight w:val="54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31</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我国与“一带一路”沿线国家图书贸易关联度测评及精准化走出去研究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田常清</w:t>
            </w:r>
          </w:p>
        </w:tc>
        <w:tc>
          <w:tcPr>
            <w:tcW w:w="1418" w:type="dxa"/>
            <w:tcBorders>
              <w:top w:val="nil"/>
              <w:left w:val="nil"/>
              <w:bottom w:val="single" w:color="auto" w:sz="4" w:space="0"/>
              <w:right w:val="single" w:color="auto" w:sz="4" w:space="0"/>
            </w:tcBorders>
            <w:vAlign w:val="center"/>
          </w:tcPr>
          <w:p>
            <w:pPr>
              <w:jc w:val="center"/>
              <w:rPr>
                <w:rFonts w:hint="eastAsia"/>
                <w:color w:val="000000"/>
                <w:sz w:val="22"/>
                <w:szCs w:val="22"/>
              </w:rPr>
            </w:pPr>
            <w:r>
              <w:rPr>
                <w:rFonts w:hint="eastAsia"/>
                <w:color w:val="000000"/>
                <w:sz w:val="22"/>
                <w:szCs w:val="22"/>
              </w:rPr>
              <w:t>公共管理</w:t>
            </w:r>
          </w:p>
          <w:p>
            <w:pPr>
              <w:jc w:val="center"/>
              <w:rPr>
                <w:color w:val="000000"/>
                <w:sz w:val="22"/>
                <w:szCs w:val="22"/>
              </w:rPr>
            </w:pPr>
            <w:r>
              <w:rPr>
                <w:rFonts w:hint="eastAsia"/>
                <w:color w:val="000000"/>
                <w:sz w:val="22"/>
                <w:szCs w:val="22"/>
              </w:rPr>
              <w:t>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青年项目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图书馆、情报与文献学</w:t>
            </w:r>
          </w:p>
        </w:tc>
      </w:tr>
      <w:tr>
        <w:tblPrEx>
          <w:tblLayout w:type="fixed"/>
          <w:tblCellMar>
            <w:top w:w="0" w:type="dxa"/>
            <w:left w:w="108" w:type="dxa"/>
            <w:bottom w:w="0" w:type="dxa"/>
            <w:right w:w="108" w:type="dxa"/>
          </w:tblCellMar>
        </w:tblPrEx>
        <w:trPr>
          <w:trHeight w:val="54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32</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污染源视角下流域生态环境协同治理及责任追究机制研究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柴茂</w:t>
            </w:r>
          </w:p>
        </w:tc>
        <w:tc>
          <w:tcPr>
            <w:tcW w:w="1418" w:type="dxa"/>
            <w:tcBorders>
              <w:top w:val="nil"/>
              <w:left w:val="nil"/>
              <w:bottom w:val="single" w:color="auto" w:sz="4" w:space="0"/>
              <w:right w:val="single" w:color="auto" w:sz="4" w:space="0"/>
            </w:tcBorders>
            <w:vAlign w:val="center"/>
          </w:tcPr>
          <w:p>
            <w:pPr>
              <w:jc w:val="center"/>
              <w:rPr>
                <w:rFonts w:hint="eastAsia"/>
                <w:color w:val="000000"/>
                <w:sz w:val="22"/>
                <w:szCs w:val="22"/>
              </w:rPr>
            </w:pPr>
            <w:r>
              <w:rPr>
                <w:rFonts w:hint="eastAsia"/>
                <w:color w:val="000000"/>
                <w:sz w:val="22"/>
                <w:szCs w:val="22"/>
              </w:rPr>
              <w:t>公共管理</w:t>
            </w:r>
          </w:p>
          <w:p>
            <w:pPr>
              <w:jc w:val="center"/>
              <w:rPr>
                <w:color w:val="000000"/>
                <w:sz w:val="22"/>
                <w:szCs w:val="22"/>
              </w:rPr>
            </w:pPr>
            <w:r>
              <w:rPr>
                <w:rFonts w:hint="eastAsia"/>
                <w:color w:val="000000"/>
                <w:sz w:val="22"/>
                <w:szCs w:val="22"/>
              </w:rPr>
              <w:t>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青年项目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政治学</w:t>
            </w:r>
          </w:p>
        </w:tc>
      </w:tr>
      <w:tr>
        <w:tblPrEx>
          <w:tblLayout w:type="fixed"/>
          <w:tblCellMar>
            <w:top w:w="0" w:type="dxa"/>
            <w:left w:w="108" w:type="dxa"/>
            <w:bottom w:w="0" w:type="dxa"/>
            <w:right w:w="108" w:type="dxa"/>
          </w:tblCellMar>
        </w:tblPrEx>
        <w:trPr>
          <w:trHeight w:val="57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33</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百年中国佛教文学的现代性研究（</w:t>
            </w:r>
            <w:r>
              <w:rPr>
                <w:color w:val="000000"/>
                <w:sz w:val="22"/>
                <w:szCs w:val="22"/>
              </w:rPr>
              <w:t>1912—2016</w:t>
            </w:r>
            <w:r>
              <w:rPr>
                <w:rFonts w:hint="eastAsia"/>
                <w:color w:val="000000"/>
                <w:sz w:val="22"/>
                <w:szCs w:val="22"/>
              </w:rPr>
              <w:t>）</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任传印</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文学与新闻学院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青年项目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中国文学</w:t>
            </w:r>
          </w:p>
        </w:tc>
      </w:tr>
      <w:tr>
        <w:tblPrEx>
          <w:tblLayout w:type="fixed"/>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34</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湖南白族汉语方言研究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钟江华</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文学与新闻学院</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青年项目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语言学</w:t>
            </w:r>
          </w:p>
        </w:tc>
      </w:tr>
      <w:tr>
        <w:tblPrEx>
          <w:tblLayout w:type="fixed"/>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35</w:t>
            </w:r>
          </w:p>
        </w:tc>
        <w:tc>
          <w:tcPr>
            <w:tcW w:w="3222" w:type="dxa"/>
            <w:tcBorders>
              <w:top w:val="nil"/>
              <w:left w:val="nil"/>
              <w:bottom w:val="single" w:color="auto" w:sz="4" w:space="0"/>
              <w:right w:val="single" w:color="auto" w:sz="4" w:space="0"/>
            </w:tcBorders>
            <w:vAlign w:val="center"/>
          </w:tcPr>
          <w:p>
            <w:pPr>
              <w:jc w:val="left"/>
              <w:rPr>
                <w:color w:val="000000"/>
                <w:sz w:val="22"/>
                <w:szCs w:val="22"/>
              </w:rPr>
            </w:pPr>
            <w:r>
              <w:rPr>
                <w:rFonts w:hint="eastAsia"/>
                <w:color w:val="000000"/>
                <w:sz w:val="22"/>
                <w:szCs w:val="22"/>
              </w:rPr>
              <w:t>日本江户时代的史学变革研究</w:t>
            </w:r>
          </w:p>
        </w:tc>
        <w:tc>
          <w:tcPr>
            <w:tcW w:w="1134"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瞿亮</w:t>
            </w:r>
          </w:p>
        </w:tc>
        <w:tc>
          <w:tcPr>
            <w:tcW w:w="1418"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历史系</w:t>
            </w:r>
          </w:p>
        </w:tc>
        <w:tc>
          <w:tcPr>
            <w:tcW w:w="1276"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青年项目</w:t>
            </w:r>
          </w:p>
        </w:tc>
        <w:tc>
          <w:tcPr>
            <w:tcW w:w="1275" w:type="dxa"/>
            <w:tcBorders>
              <w:top w:val="nil"/>
              <w:left w:val="nil"/>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世界历史</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inherit">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E0F4C"/>
    <w:rsid w:val="154E0F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2017-07-06T05:02:00Z</dcterms:created>
  <dc:creator>zhang</dc:creator>
  <cp:lastModifiedBy>zhang</cp:lastModifiedBy>
  <dcterms:modified xsi:type="dcterms:W3CDTF">2017-07-06T05:04:26Z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